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09D" w:rsidRPr="00983512" w:rsidRDefault="00EC109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</w:pPr>
    </w:p>
    <w:p w:rsidR="00EC109D" w:rsidRPr="00983512" w:rsidRDefault="00EC109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</w:pPr>
    </w:p>
    <w:p w:rsidR="00D20EA6" w:rsidRPr="00983512" w:rsidRDefault="00D20EA6" w:rsidP="00D20EA6">
      <w:pPr>
        <w:spacing w:after="0" w:line="240" w:lineRule="auto"/>
        <w:ind w:left="2832" w:firstLine="708"/>
        <w:jc w:val="both"/>
        <w:rPr>
          <w:rFonts w:ascii="Arial" w:hAnsi="Arial" w:cs="Arial"/>
          <w:b/>
          <w:sz w:val="16"/>
          <w:szCs w:val="16"/>
        </w:rPr>
      </w:pPr>
    </w:p>
    <w:p w:rsidR="00D20EA6" w:rsidRPr="00983512" w:rsidRDefault="00D20EA6" w:rsidP="00D20EA6">
      <w:pPr>
        <w:spacing w:after="0" w:line="240" w:lineRule="auto"/>
        <w:ind w:left="2832" w:firstLine="708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983512">
        <w:rPr>
          <w:rFonts w:ascii="Arial" w:hAnsi="Arial" w:cs="Arial"/>
          <w:b/>
          <w:sz w:val="16"/>
          <w:szCs w:val="16"/>
          <w:u w:val="single"/>
        </w:rPr>
        <w:t>ESCLARECIMENTO 2</w:t>
      </w:r>
    </w:p>
    <w:p w:rsidR="00D20EA6" w:rsidRPr="00983512" w:rsidRDefault="00D20EA6" w:rsidP="00D20EA6">
      <w:pPr>
        <w:spacing w:after="0" w:line="240" w:lineRule="auto"/>
        <w:ind w:left="567"/>
        <w:jc w:val="both"/>
        <w:rPr>
          <w:rFonts w:ascii="Arial" w:hAnsi="Arial" w:cs="Arial"/>
          <w:b/>
          <w:sz w:val="16"/>
          <w:szCs w:val="16"/>
        </w:rPr>
      </w:pPr>
    </w:p>
    <w:p w:rsidR="00EC109D" w:rsidRPr="00983512" w:rsidRDefault="00EC109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</w:pP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Pergunta 1</w:t>
      </w: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– A respeito das mídias de instalação dos sistemas operacionais: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Em consonância com a preocupação global de redução de resíduos, a </w:t>
      </w:r>
      <w:proofErr w:type="spell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Daten</w:t>
      </w:r>
      <w:proofErr w:type="spell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tem por padrão: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numPr>
          <w:ilvl w:val="0"/>
          <w:numId w:val="1"/>
        </w:numPr>
        <w:shd w:val="clear" w:color="auto" w:fill="FFFFFF"/>
        <w:spacing w:after="0" w:line="240" w:lineRule="auto"/>
        <w:ind w:left="945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Disponibilidade, dentro de uma área restrita no site da </w:t>
      </w:r>
      <w:proofErr w:type="spell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Daten</w:t>
      </w:r>
      <w:proofErr w:type="spell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, da imagem ISO de reinstalação/recuperação do Sistema Operacional Windows 10, aplicativos e drivers dos dispositivos, acessados através do número de série do equipamento.</w:t>
      </w:r>
    </w:p>
    <w:p w:rsidR="00315C10" w:rsidRPr="00983512" w:rsidRDefault="00315C10" w:rsidP="00315C10">
      <w:pPr>
        <w:numPr>
          <w:ilvl w:val="0"/>
          <w:numId w:val="1"/>
        </w:numPr>
        <w:shd w:val="clear" w:color="auto" w:fill="FFFFFF"/>
        <w:spacing w:after="0" w:line="240" w:lineRule="auto"/>
        <w:ind w:left="945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Partição oculta no disco rígido contendo a imagem de reinstalação/recuperação do Sistema Operacional Windows 10.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Tal medida tem como objetivo a redução de resíduos após o uso eventual das mídias, já que todos os programas saem pré-instalados e </w:t>
      </w:r>
      <w:proofErr w:type="spell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pré</w:t>
      </w:r>
      <w:proofErr w:type="spell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-configurados de fábrica, e podem ser reinstalados/recuperados a qualquer momento através das ferramentas acima. </w:t>
      </w:r>
      <w:proofErr w:type="gram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Entendemos</w:t>
      </w:r>
      <w:r w:rsidR="00C40719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</w:t>
      </w: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portanto</w:t>
      </w:r>
      <w:proofErr w:type="gram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que a disponibilização das ferramentas acima, por se tratar de mídia eletrônica, é superior ao exigido no Edital, portanto suficiente para atendimento a especificação de mídias físicas. Nosso entendimento está correto?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Não estando de acordo com o entendimento acima, e considerando que, via de regra, o órgão possui um Setor Central de manutenção dos equipamentos, entendemos que a </w:t>
      </w:r>
      <w:proofErr w:type="spell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Daten</w:t>
      </w:r>
      <w:proofErr w:type="spell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pode fornecer 5 mídias para cada lote adquirido, </w:t>
      </w:r>
      <w:proofErr w:type="gram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ou  uma</w:t>
      </w:r>
      <w:proofErr w:type="gram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mídia para cada equipamento em caso de lotes inferiores a 5 unidades, assegurando ainda que, caso no decorrer da garantia dos equipamentos seja necessário o envio de mídias complementares, o faremos sem custo adicional. Nosso entendimento está correto?</w:t>
      </w:r>
    </w:p>
    <w:p w:rsidR="00226FFD" w:rsidRPr="00983512" w:rsidRDefault="00226FF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870C63" w:rsidRPr="00983512" w:rsidRDefault="00870C63" w:rsidP="001175E0">
      <w:pPr>
        <w:shd w:val="clear" w:color="auto" w:fill="FFFFFF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Resposta 1</w:t>
      </w:r>
      <w:r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: </w:t>
      </w:r>
      <w:r w:rsidR="0048380E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Quanto as mídias de instalação</w:t>
      </w:r>
      <w:r w:rsidR="006A275E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dos sistemas operacionais, o</w:t>
      </w:r>
      <w:r w:rsidR="00AD0EB1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licitante deverá observar </w:t>
      </w:r>
      <w:r w:rsidR="00AD0EB1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o </w:t>
      </w:r>
      <w:r w:rsidR="00226FFD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Lote 1 -</w:t>
      </w:r>
      <w:r w:rsidR="00AD0EB1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item 8.02</w:t>
      </w:r>
      <w:r w:rsidR="00226FFD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(especificação </w:t>
      </w:r>
      <w:r w:rsidR="00AD0EB1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técnica</w:t>
      </w:r>
      <w:r w:rsidR="00226FFD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), do qual</w:t>
      </w:r>
      <w:r w:rsidR="00AD0EB1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</w:t>
      </w:r>
      <w:r w:rsidR="00D1605D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consta</w:t>
      </w:r>
      <w:r w:rsidR="00AD0EB1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 xml:space="preserve"> opções </w:t>
      </w:r>
      <w:r w:rsidR="00D1605D"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de entrega.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1011DA" w:rsidP="001011D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Pergunta </w:t>
      </w:r>
      <w:r w:rsidR="00315C10"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2</w:t>
      </w:r>
      <w:r w:rsidR="00315C10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– No quesito </w:t>
      </w:r>
      <w:r w:rsidR="00315C10"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PRAZO DE ENTREGA</w:t>
      </w:r>
      <w:r w:rsidR="00315C10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, o Termo de Referência do Edital determina o seguinte: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t-BR"/>
        </w:rPr>
        <w:t>“</w:t>
      </w: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17. DO PRAZO E DO LOCAL DE ENTREGA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17.1. O prazo de entrega do (s) bem (</w:t>
      </w:r>
      <w:proofErr w:type="spellStart"/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ns</w:t>
      </w:r>
      <w:proofErr w:type="spellEnd"/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 xml:space="preserve">) será de até 20 (vinte) dias corridos, contados do recebimento da ORDEM DE FORNECIMENTO pelo </w:t>
      </w:r>
      <w:proofErr w:type="gramStart"/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CONTRATADO.”</w:t>
      </w:r>
      <w:proofErr w:type="gramEnd"/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u w:val="single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Neste sentido, ressaltamos que os equipamentos licitados não são produtos “padrão de mercado” que seriam encontrados previamente disponíveis nos estoques dos fabricantes; pelo contrário, trata-se de equipamentos específicos, fabricados conforme demanda e especificação do cliente. O processo de fabricação compreende as etapas de aquisição de matéria prima, planejamento da produção, a produção propriamente dita, testes de produção e controle de qualidade, faturamento e transporte, cujos prazos somados resultam, em média, em 45 (quarenta e cinco) dias desde o recebimento do pedido até a entrega ao cliente, prazo este incompatível com o prazo máximo de entrega estabelecido em Edital. Se o fornecedor possuísse todos os insumos em fábrica no momento do recebimento do pedido seria possível realizar a entrega dos equipamentos em </w:t>
      </w: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20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(</w:t>
      </w: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vint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e) dias</w:t>
      </w: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 corridos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,</w:t>
      </w: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contudo, diante disto, se torna totalmente inviável e arriscado para o fornecedor manter insumos em estoque. Por todo o exposto, e para garantir a economicidade do certame, permitindo a participação de um maior número de fornecedores, solicitamos que o prazo máximo de entrega seja confirmado e estabelecido em 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t-BR"/>
        </w:rPr>
        <w:t>45 (quarenta e cinco) dias</w:t>
      </w:r>
      <w:r w:rsidRPr="00983512">
        <w:rPr>
          <w:rFonts w:ascii="Arial" w:eastAsia="Times New Roman" w:hAnsi="Arial" w:cs="Arial"/>
          <w:color w:val="000000"/>
          <w:sz w:val="16"/>
          <w:szCs w:val="16"/>
          <w:u w:val="single"/>
          <w:lang w:eastAsia="pt-BR"/>
        </w:rPr>
        <w:t>.</w:t>
      </w:r>
    </w:p>
    <w:p w:rsidR="001175E0" w:rsidRPr="00983512" w:rsidRDefault="001175E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u w:val="single"/>
          <w:lang w:eastAsia="pt-BR"/>
        </w:rPr>
      </w:pPr>
    </w:p>
    <w:p w:rsidR="009164D2" w:rsidRPr="00983512" w:rsidRDefault="00870C63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lastRenderedPageBreak/>
        <w:t>Resposta 2:</w:t>
      </w:r>
      <w:r w:rsidR="009164D2" w:rsidRPr="00983512">
        <w:rPr>
          <w:rFonts w:ascii="Arial" w:eastAsia="Times New Roman" w:hAnsi="Arial" w:cs="Arial"/>
          <w:color w:val="000000"/>
          <w:sz w:val="16"/>
          <w:szCs w:val="16"/>
          <w:u w:val="single"/>
          <w:lang w:eastAsia="pt-BR"/>
        </w:rPr>
        <w:t xml:space="preserve"> </w:t>
      </w:r>
      <w:r w:rsidR="009164D2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</w:t>
      </w:r>
      <w:r w:rsidR="009164D2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O prazo de entrega do bem previsto no edital</w:t>
      </w:r>
      <w:r w:rsidR="005E1D48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e anexos</w:t>
      </w:r>
      <w:r w:rsidR="009164D2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deverá ser</w:t>
      </w:r>
      <w:r w:rsidR="000D02C4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respeitado.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 </w:t>
      </w:r>
    </w:p>
    <w:p w:rsidR="00315C10" w:rsidRPr="00983512" w:rsidRDefault="001011DA" w:rsidP="006E15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 xml:space="preserve">Pergunta </w:t>
      </w:r>
      <w:r w:rsidR="00315C10"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3</w:t>
      </w:r>
      <w:r w:rsidR="00315C10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– No quesito </w:t>
      </w:r>
      <w:r w:rsidR="00315C10"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GARANTIA,</w:t>
      </w:r>
      <w:r w:rsidR="00315C10"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determina o seguinte:</w:t>
      </w:r>
    </w:p>
    <w:p w:rsidR="00315C10" w:rsidRPr="00983512" w:rsidRDefault="00315C10" w:rsidP="006E15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u w:val="single"/>
          <w:lang w:eastAsia="pt-BR"/>
        </w:rPr>
        <w:t>“LOTE 1: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Garantia do fabricante, “ON SITE”, mínima de 05 (cinco) anos para todos os itens descritos acima...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 xml:space="preserve">Garantia do fabricante, “ON SITE”, mínima de 5 (cinco) anos para todos os equipamentos </w:t>
      </w:r>
      <w:proofErr w:type="gramStart"/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  <w:t>ofertados.”</w:t>
      </w:r>
      <w:proofErr w:type="gramEnd"/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222222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Neste sentido, esclarecemos que a Intel e a AMD, fabricantes dos processadores especificados, lançam famílias de processadores e chipsets a cada ano. Desta forma, o equipamento fabricado no final de 2015 terá um processador diferente do fabricado no final de 2016, que terá um processador diferente ao final de 2017, e assim sucessivamente.</w:t>
      </w:r>
    </w:p>
    <w:p w:rsidR="00315C10" w:rsidRPr="00983512" w:rsidRDefault="00315C10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Junto às famílias de processadores são atualizados, também, os chipsets e, eventualmente, os padrões de interfaces de HDs, de memórias etc.</w:t>
      </w:r>
    </w:p>
    <w:p w:rsidR="00315C10" w:rsidRPr="00983512" w:rsidRDefault="00315C10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Desta forma, em nosso entendimento, a solicitação de garantia de 60 (sessenta) meses para os equipamentos, apesar de cada vez mais comum nos Editais, na realidade, não traz benefícios ao órgão comprador.</w:t>
      </w:r>
    </w:p>
    <w:p w:rsidR="00315C10" w:rsidRPr="00983512" w:rsidRDefault="00315C10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Via de regra, ao final de 04 (quatro) anos o equipamento já se encontra desatualizado e com um alto grau de obsolescência, gerando desconforto ao servidor e, em última análise, baixa produtividade do mesmo. Assim, a Administração acaba pagando por uma garantia que, se usada, poderá trazer prejuízos maiores ao serviço público.</w:t>
      </w:r>
    </w:p>
    <w:p w:rsidR="00315C10" w:rsidRPr="00983512" w:rsidRDefault="00315C10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Sugerimos, portanto, a alteração do período de garantia para 48 (quarenta e oito) meses.</w:t>
      </w:r>
    </w:p>
    <w:p w:rsidR="001175E0" w:rsidRPr="00983512" w:rsidRDefault="001175E0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405305" w:rsidRPr="00983512" w:rsidRDefault="00870C63" w:rsidP="00315C10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Resposta 3:</w:t>
      </w:r>
      <w:r w:rsidR="000D02C4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</w:t>
      </w:r>
      <w:r w:rsidR="00D267A3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O prazo</w:t>
      </w:r>
      <w:r w:rsidR="00405305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de garantia</w:t>
      </w:r>
      <w:r w:rsidR="00D267A3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constante do edital não será alterado.</w:t>
      </w:r>
      <w:r w:rsidR="000D02C4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O</w:t>
      </w:r>
      <w:r w:rsidR="00D267A3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interessado</w:t>
      </w:r>
      <w:r w:rsidR="000D02C4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deverá ater-se ao </w:t>
      </w:r>
      <w:r w:rsidR="00416D8A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cumprimento das disposições do edital e anexos.</w:t>
      </w:r>
      <w:bookmarkStart w:id="0" w:name="_GoBack"/>
      <w:bookmarkEnd w:id="0"/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 </w:t>
      </w: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Pergunta 0</w:t>
      </w:r>
      <w:r w:rsidRPr="00983512">
        <w:rPr>
          <w:rFonts w:ascii="Arial" w:eastAsia="Times New Roman" w:hAnsi="Arial" w:cs="Arial"/>
          <w:b/>
          <w:bCs/>
          <w:color w:val="222222"/>
          <w:sz w:val="16"/>
          <w:szCs w:val="16"/>
          <w:lang w:eastAsia="pt-BR"/>
        </w:rPr>
        <w:t>4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-</w:t>
      </w: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No quesito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da </w:t>
      </w:r>
      <w:r w:rsidRPr="00983512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Nota Fiscal?</w:t>
      </w:r>
    </w:p>
    <w:p w:rsidR="00315C10" w:rsidRPr="00983512" w:rsidRDefault="00315C10" w:rsidP="00315C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</w:p>
    <w:p w:rsidR="00315C10" w:rsidRPr="00983512" w:rsidRDefault="00315C10" w:rsidP="00322D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O atual processo licita os componentes CPU, Monitor, Teclado e Mouse de forma conjunta (único item). Considerando que os citados componentes possuem diferentes classificações fiscais e diferentes tributações, obedecendo o determinado </w:t>
      </w:r>
      <w:proofErr w:type="gramStart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pelo  Artigo</w:t>
      </w:r>
      <w:proofErr w:type="gramEnd"/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 xml:space="preserve"> 413 Inciso IV do regulamento de IPI Decreto 7.212/2010, entendemos que será permitido a emissão da nota fiscal destacando cada componente separadamente permitindo que seja aplicada a classificação fiscal e tributação de cada item separadamente, sendo a soma total dos itens correspondente ao valor do item licitado.</w:t>
      </w:r>
    </w:p>
    <w:p w:rsidR="00315C10" w:rsidRPr="00983512" w:rsidRDefault="00315C10" w:rsidP="00322D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Está correto nosso entendimento?</w:t>
      </w:r>
    </w:p>
    <w:p w:rsidR="005969A2" w:rsidRPr="00983512" w:rsidRDefault="005969A2" w:rsidP="00322D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AF1169" w:rsidRPr="00983512" w:rsidRDefault="00437C0D" w:rsidP="00322D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983512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t-BR"/>
        </w:rPr>
        <w:t>Resposta 4:</w:t>
      </w:r>
      <w:r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A</w:t>
      </w:r>
      <w:r w:rsidR="00AF1169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nota fiscal</w:t>
      </w:r>
      <w:r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deverá ser emitida</w:t>
      </w:r>
      <w:r w:rsidR="00493E29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</w:t>
      </w:r>
      <w:r w:rsidR="00057508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no valor global do </w:t>
      </w:r>
      <w:r w:rsidR="00C4606B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>equipamento a ser fornecido</w:t>
      </w:r>
      <w:r w:rsidR="00416D8A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nos termos previsto no edital e anexos.</w:t>
      </w:r>
      <w:r w:rsidR="00493E29" w:rsidRPr="00983512">
        <w:rPr>
          <w:rFonts w:ascii="Arial" w:eastAsia="Times New Roman" w:hAnsi="Arial" w:cs="Arial"/>
          <w:b/>
          <w:color w:val="000000"/>
          <w:sz w:val="16"/>
          <w:szCs w:val="16"/>
          <w:lang w:eastAsia="pt-BR"/>
        </w:rPr>
        <w:t xml:space="preserve"> </w:t>
      </w:r>
    </w:p>
    <w:p w:rsidR="00BA4D6D" w:rsidRDefault="00BA4D6D">
      <w:pPr>
        <w:rPr>
          <w:rFonts w:ascii="Arial" w:hAnsi="Arial" w:cs="Arial"/>
          <w:sz w:val="16"/>
          <w:szCs w:val="16"/>
        </w:rPr>
      </w:pPr>
    </w:p>
    <w:p w:rsidR="00024993" w:rsidRDefault="00024993">
      <w:pPr>
        <w:rPr>
          <w:rFonts w:ascii="Arial" w:hAnsi="Arial" w:cs="Arial"/>
          <w:sz w:val="16"/>
          <w:szCs w:val="16"/>
        </w:rPr>
      </w:pPr>
    </w:p>
    <w:p w:rsidR="00024993" w:rsidRDefault="00024993">
      <w:pPr>
        <w:rPr>
          <w:rFonts w:ascii="Arial" w:hAnsi="Arial" w:cs="Arial"/>
          <w:sz w:val="16"/>
          <w:szCs w:val="16"/>
        </w:rPr>
      </w:pPr>
    </w:p>
    <w:p w:rsidR="00024993" w:rsidRPr="00983512" w:rsidRDefault="00024993">
      <w:pPr>
        <w:rPr>
          <w:rFonts w:ascii="Arial" w:hAnsi="Arial" w:cs="Arial"/>
          <w:sz w:val="16"/>
          <w:szCs w:val="16"/>
        </w:rPr>
      </w:pPr>
    </w:p>
    <w:sectPr w:rsidR="00024993" w:rsidRPr="0098351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09D" w:rsidRDefault="00EC109D" w:rsidP="00EC109D">
      <w:pPr>
        <w:spacing w:after="0" w:line="240" w:lineRule="auto"/>
      </w:pPr>
      <w:r>
        <w:separator/>
      </w:r>
    </w:p>
  </w:endnote>
  <w:endnote w:type="continuationSeparator" w:id="0">
    <w:p w:rsidR="00EC109D" w:rsidRDefault="00EC109D" w:rsidP="00EC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4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452"/>
      <w:gridCol w:w="5302"/>
    </w:tblGrid>
    <w:tr w:rsidR="00EC109D" w:rsidRPr="00715D3D" w:rsidTr="009277CB">
      <w:trPr>
        <w:jc w:val="center"/>
      </w:trPr>
      <w:tc>
        <w:tcPr>
          <w:tcW w:w="34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C109D" w:rsidRPr="00715D3D" w:rsidRDefault="009277CB" w:rsidP="00EC109D">
          <w:pPr>
            <w:pStyle w:val="Rodap"/>
            <w:rPr>
              <w:color w:val="808080"/>
            </w:rPr>
          </w:pPr>
          <w:r>
            <w:rPr>
              <w:color w:val="808080"/>
            </w:rPr>
            <w:t>Pedido esclarecimento</w:t>
          </w:r>
        </w:p>
      </w:tc>
      <w:tc>
        <w:tcPr>
          <w:tcW w:w="5302" w:type="dxa"/>
          <w:vAlign w:val="center"/>
        </w:tcPr>
        <w:p w:rsidR="00EC109D" w:rsidRPr="00715D3D" w:rsidRDefault="00EC109D" w:rsidP="00EC109D">
          <w:pPr>
            <w:pStyle w:val="Rodap"/>
            <w:jc w:val="right"/>
            <w:rPr>
              <w:color w:val="808080"/>
            </w:rPr>
          </w:pPr>
          <w:r w:rsidRPr="00715D3D">
            <w:rPr>
              <w:color w:val="808080"/>
            </w:rPr>
            <w:t xml:space="preserve">Página </w:t>
          </w:r>
          <w:r w:rsidRPr="00715D3D">
            <w:rPr>
              <w:color w:val="808080"/>
            </w:rPr>
            <w:fldChar w:fldCharType="begin"/>
          </w:r>
          <w:r w:rsidRPr="00715D3D">
            <w:rPr>
              <w:color w:val="808080"/>
            </w:rPr>
            <w:instrText xml:space="preserve"> PAGE </w:instrText>
          </w:r>
          <w:r w:rsidRPr="00715D3D">
            <w:rPr>
              <w:color w:val="808080"/>
            </w:rPr>
            <w:fldChar w:fldCharType="separate"/>
          </w:r>
          <w:r w:rsidR="00961872">
            <w:rPr>
              <w:noProof/>
              <w:color w:val="808080"/>
            </w:rPr>
            <w:t>1</w:t>
          </w:r>
          <w:r w:rsidRPr="00715D3D">
            <w:rPr>
              <w:color w:val="808080"/>
            </w:rPr>
            <w:fldChar w:fldCharType="end"/>
          </w:r>
          <w:r w:rsidRPr="00715D3D">
            <w:rPr>
              <w:color w:val="808080"/>
            </w:rPr>
            <w:t xml:space="preserve"> de </w:t>
          </w:r>
          <w:r w:rsidRPr="00715D3D">
            <w:rPr>
              <w:color w:val="808080"/>
            </w:rPr>
            <w:fldChar w:fldCharType="begin"/>
          </w:r>
          <w:r w:rsidRPr="00715D3D">
            <w:rPr>
              <w:color w:val="808080"/>
            </w:rPr>
            <w:instrText xml:space="preserve"> NUMPAGES </w:instrText>
          </w:r>
          <w:r w:rsidRPr="00715D3D">
            <w:rPr>
              <w:color w:val="808080"/>
            </w:rPr>
            <w:fldChar w:fldCharType="separate"/>
          </w:r>
          <w:r w:rsidR="00961872">
            <w:rPr>
              <w:noProof/>
              <w:color w:val="808080"/>
            </w:rPr>
            <w:t>2</w:t>
          </w:r>
          <w:r w:rsidRPr="00715D3D">
            <w:rPr>
              <w:color w:val="808080"/>
            </w:rPr>
            <w:fldChar w:fldCharType="end"/>
          </w:r>
        </w:p>
      </w:tc>
    </w:tr>
    <w:tr w:rsidR="00EC109D" w:rsidRPr="00715D3D" w:rsidTr="000915AA">
      <w:trPr>
        <w:jc w:val="center"/>
      </w:trPr>
      <w:tc>
        <w:tcPr>
          <w:tcW w:w="8754" w:type="dxa"/>
          <w:gridSpan w:val="2"/>
          <w:vAlign w:val="center"/>
        </w:tcPr>
        <w:p w:rsidR="00EC109D" w:rsidRPr="00676631" w:rsidRDefault="00EC109D" w:rsidP="00EC109D">
          <w:pPr>
            <w:tabs>
              <w:tab w:val="left" w:pos="3315"/>
              <w:tab w:val="center" w:pos="4535"/>
            </w:tabs>
            <w:spacing w:after="0" w:line="240" w:lineRule="auto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Av. Getúlio Vargas 1245, </w:t>
          </w:r>
          <w:r w:rsidRPr="00676631">
            <w:rPr>
              <w:rFonts w:cs="Arial"/>
              <w:sz w:val="18"/>
              <w:szCs w:val="18"/>
            </w:rPr>
            <w:t>12</w:t>
          </w:r>
          <w:r>
            <w:rPr>
              <w:rFonts w:cs="Arial"/>
              <w:sz w:val="18"/>
              <w:szCs w:val="18"/>
            </w:rPr>
            <w:t>°</w:t>
          </w:r>
          <w:r w:rsidRPr="00676631">
            <w:rPr>
              <w:rFonts w:cs="Arial"/>
              <w:sz w:val="18"/>
              <w:szCs w:val="18"/>
            </w:rPr>
            <w:t xml:space="preserve"> andar</w:t>
          </w:r>
          <w:r>
            <w:rPr>
              <w:rFonts w:cs="Arial"/>
              <w:sz w:val="18"/>
              <w:szCs w:val="18"/>
            </w:rPr>
            <w:t xml:space="preserve">, </w:t>
          </w:r>
          <w:proofErr w:type="gramStart"/>
          <w:r w:rsidRPr="00676631">
            <w:rPr>
              <w:rFonts w:cs="Arial"/>
              <w:sz w:val="18"/>
              <w:szCs w:val="18"/>
            </w:rPr>
            <w:t>Savassi </w:t>
          </w:r>
          <w:r>
            <w:rPr>
              <w:rFonts w:cs="Arial"/>
              <w:sz w:val="18"/>
              <w:szCs w:val="18"/>
            </w:rPr>
            <w:t>.</w:t>
          </w:r>
          <w:proofErr w:type="gramEnd"/>
          <w:r w:rsidRPr="00676631">
            <w:rPr>
              <w:rFonts w:cs="Arial"/>
              <w:sz w:val="18"/>
              <w:szCs w:val="18"/>
            </w:rPr>
            <w:t xml:space="preserve"> CEP: 30.112.021</w:t>
          </w:r>
          <w:r>
            <w:rPr>
              <w:rFonts w:cs="Arial"/>
              <w:sz w:val="18"/>
              <w:szCs w:val="18"/>
            </w:rPr>
            <w:t xml:space="preserve">, </w:t>
          </w:r>
          <w:r w:rsidRPr="00676631">
            <w:rPr>
              <w:rFonts w:cs="Arial"/>
              <w:sz w:val="18"/>
              <w:szCs w:val="18"/>
            </w:rPr>
            <w:t>Belo Horizonte</w:t>
          </w:r>
          <w:r>
            <w:rPr>
              <w:rFonts w:cs="Arial"/>
              <w:sz w:val="18"/>
              <w:szCs w:val="18"/>
            </w:rPr>
            <w:t xml:space="preserve"> |</w:t>
          </w:r>
          <w:r w:rsidRPr="00676631">
            <w:rPr>
              <w:rFonts w:cs="Arial"/>
              <w:sz w:val="18"/>
              <w:szCs w:val="18"/>
            </w:rPr>
            <w:t xml:space="preserve"> MG</w:t>
          </w:r>
          <w:r>
            <w:rPr>
              <w:rFonts w:cs="Arial"/>
              <w:sz w:val="18"/>
              <w:szCs w:val="18"/>
            </w:rPr>
            <w:t>.</w:t>
          </w:r>
          <w:r w:rsidRPr="00676631">
            <w:rPr>
              <w:rFonts w:cs="Arial"/>
              <w:sz w:val="18"/>
              <w:szCs w:val="18"/>
            </w:rPr>
            <w:t xml:space="preserve"> </w:t>
          </w:r>
        </w:p>
        <w:p w:rsidR="00EC109D" w:rsidRPr="00715D3D" w:rsidRDefault="00EC109D" w:rsidP="00EC109D">
          <w:pPr>
            <w:tabs>
              <w:tab w:val="left" w:pos="3315"/>
              <w:tab w:val="center" w:pos="4535"/>
            </w:tabs>
            <w:spacing w:after="0" w:line="240" w:lineRule="auto"/>
            <w:jc w:val="center"/>
            <w:rPr>
              <w:color w:val="1F4E79"/>
            </w:rPr>
          </w:pPr>
          <w:r w:rsidRPr="00676631">
            <w:rPr>
              <w:rFonts w:cs="Arial"/>
              <w:sz w:val="18"/>
              <w:szCs w:val="18"/>
            </w:rPr>
            <w:t xml:space="preserve"> </w:t>
          </w:r>
          <w:r w:rsidRPr="00715D3D">
            <w:rPr>
              <w:rFonts w:cs="Arial"/>
              <w:noProof/>
              <w:sz w:val="18"/>
              <w:szCs w:val="18"/>
              <w:lang w:eastAsia="pt-BR"/>
            </w:rPr>
            <w:drawing>
              <wp:inline distT="0" distB="0" distL="0" distR="0">
                <wp:extent cx="104775" cy="10477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sz w:val="18"/>
              <w:szCs w:val="18"/>
            </w:rPr>
            <w:t xml:space="preserve"> |+55 31|</w:t>
          </w:r>
          <w:r w:rsidRPr="00676631">
            <w:rPr>
              <w:rFonts w:cs="Arial"/>
              <w:sz w:val="18"/>
              <w:szCs w:val="18"/>
            </w:rPr>
            <w:t> 3246</w:t>
          </w:r>
          <w:r>
            <w:rPr>
              <w:rFonts w:cs="Arial"/>
              <w:sz w:val="18"/>
              <w:szCs w:val="18"/>
            </w:rPr>
            <w:t>.</w:t>
          </w:r>
          <w:r w:rsidRPr="00676631">
            <w:rPr>
              <w:rFonts w:cs="Arial"/>
              <w:sz w:val="18"/>
              <w:szCs w:val="18"/>
            </w:rPr>
            <w:t>7044</w:t>
          </w:r>
          <w:r>
            <w:rPr>
              <w:rFonts w:cs="Arial"/>
              <w:sz w:val="18"/>
              <w:szCs w:val="18"/>
            </w:rPr>
            <w:t xml:space="preserve">  </w:t>
          </w:r>
          <w:r w:rsidRPr="00676631">
            <w:rPr>
              <w:rFonts w:cs="Arial"/>
              <w:sz w:val="18"/>
              <w:szCs w:val="18"/>
            </w:rPr>
            <w:t xml:space="preserve"> </w:t>
          </w:r>
          <w:r w:rsidRPr="005245F0">
            <w:rPr>
              <w:noProof/>
              <w:lang w:eastAsia="pt-BR"/>
            </w:rPr>
            <w:drawing>
              <wp:inline distT="0" distB="0" distL="0" distR="0">
                <wp:extent cx="104775" cy="1047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V="1"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sz w:val="18"/>
              <w:szCs w:val="18"/>
            </w:rPr>
            <w:t xml:space="preserve"> </w:t>
          </w:r>
          <w:hyperlink r:id="rId3" w:history="1">
            <w:r w:rsidRPr="00676631">
              <w:rPr>
                <w:rStyle w:val="Hyperlink"/>
                <w:rFonts w:cs="Arial"/>
                <w:sz w:val="18"/>
                <w:szCs w:val="18"/>
              </w:rPr>
              <w:t>contato@pbhativos.com.br</w:t>
            </w:r>
          </w:hyperlink>
          <w:r w:rsidRPr="00676631">
            <w:rPr>
              <w:rFonts w:cs="Arial"/>
              <w:sz w:val="18"/>
              <w:szCs w:val="18"/>
            </w:rPr>
            <w:t xml:space="preserve">   CNPJ: 13.593.766/0001-79</w:t>
          </w:r>
        </w:p>
      </w:tc>
    </w:tr>
  </w:tbl>
  <w:p w:rsidR="00EC109D" w:rsidRDefault="00EC109D" w:rsidP="00EC10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09D" w:rsidRDefault="00EC109D" w:rsidP="00EC109D">
      <w:pPr>
        <w:spacing w:after="0" w:line="240" w:lineRule="auto"/>
      </w:pPr>
      <w:r>
        <w:separator/>
      </w:r>
    </w:p>
  </w:footnote>
  <w:footnote w:type="continuationSeparator" w:id="0">
    <w:p w:rsidR="00EC109D" w:rsidRDefault="00EC109D" w:rsidP="00EC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09D" w:rsidRPr="00EC109D" w:rsidRDefault="00EC109D" w:rsidP="00EC109D">
    <w:pPr>
      <w:pStyle w:val="Cabealho"/>
    </w:pPr>
    <w:r>
      <w:rPr>
        <w:noProof/>
        <w:lang w:eastAsia="pt-BR"/>
      </w:rPr>
      <w:drawing>
        <wp:inline distT="0" distB="0" distL="0" distR="0" wp14:anchorId="681B96CF" wp14:editId="05758188">
          <wp:extent cx="1790700" cy="768199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BH_ATIVOS_MARCA PB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39" r="5636"/>
                  <a:stretch/>
                </pic:blipFill>
                <pic:spPr bwMode="auto">
                  <a:xfrm>
                    <a:off x="0" y="0"/>
                    <a:ext cx="1805189" cy="774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668DD"/>
    <w:multiLevelType w:val="multilevel"/>
    <w:tmpl w:val="6010AA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10"/>
    <w:rsid w:val="00024993"/>
    <w:rsid w:val="00057508"/>
    <w:rsid w:val="000D02C4"/>
    <w:rsid w:val="001011DA"/>
    <w:rsid w:val="001175E0"/>
    <w:rsid w:val="00226FFD"/>
    <w:rsid w:val="00315C10"/>
    <w:rsid w:val="00322D71"/>
    <w:rsid w:val="00405305"/>
    <w:rsid w:val="00416D8A"/>
    <w:rsid w:val="00437C0D"/>
    <w:rsid w:val="0048380E"/>
    <w:rsid w:val="00493E29"/>
    <w:rsid w:val="005969A2"/>
    <w:rsid w:val="005E1D48"/>
    <w:rsid w:val="006A275E"/>
    <w:rsid w:val="006E1510"/>
    <w:rsid w:val="00870C63"/>
    <w:rsid w:val="008C5F01"/>
    <w:rsid w:val="009164D2"/>
    <w:rsid w:val="009277CB"/>
    <w:rsid w:val="00961872"/>
    <w:rsid w:val="00983512"/>
    <w:rsid w:val="00A0309E"/>
    <w:rsid w:val="00AD0EB1"/>
    <w:rsid w:val="00AF1169"/>
    <w:rsid w:val="00B90DC5"/>
    <w:rsid w:val="00BA4D6D"/>
    <w:rsid w:val="00C40719"/>
    <w:rsid w:val="00C4606B"/>
    <w:rsid w:val="00C64F40"/>
    <w:rsid w:val="00D1605D"/>
    <w:rsid w:val="00D20EA6"/>
    <w:rsid w:val="00D267A3"/>
    <w:rsid w:val="00EC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8C24D1F-2C3E-4955-B126-FACC6720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1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109D"/>
  </w:style>
  <w:style w:type="paragraph" w:styleId="Rodap">
    <w:name w:val="footer"/>
    <w:basedOn w:val="Normal"/>
    <w:link w:val="RodapChar"/>
    <w:uiPriority w:val="99"/>
    <w:unhideWhenUsed/>
    <w:rsid w:val="00EC1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09D"/>
  </w:style>
  <w:style w:type="character" w:styleId="Hyperlink">
    <w:name w:val="Hyperlink"/>
    <w:uiPriority w:val="99"/>
    <w:rsid w:val="00EC1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to@pbhativos.com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868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SANTOS</dc:creator>
  <cp:keywords/>
  <dc:description/>
  <cp:lastModifiedBy>HELENA SANTOS</cp:lastModifiedBy>
  <cp:revision>9</cp:revision>
  <dcterms:created xsi:type="dcterms:W3CDTF">2019-03-15T18:10:00Z</dcterms:created>
  <dcterms:modified xsi:type="dcterms:W3CDTF">2019-03-18T21:32:00Z</dcterms:modified>
</cp:coreProperties>
</file>